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MINISTERUL EDUCAȚIEI ȘI CERCETĂRII ŞTIINȚIFICE</w:t>
      </w:r>
    </w:p>
    <w:p w:rsidR="00F95A9A" w:rsidRPr="00B856EC" w:rsidRDefault="00F95A9A" w:rsidP="00B856EC">
      <w:pPr>
        <w:pStyle w:val="Heading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95A9A" w:rsidRPr="00B856EC" w:rsidRDefault="00F95A9A" w:rsidP="00B856EC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0"/>
          <w:szCs w:val="20"/>
        </w:rPr>
      </w:pPr>
    </w:p>
    <w:p w:rsidR="00F95A9A" w:rsidRPr="00B856EC" w:rsidRDefault="00F95A9A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F95A9A" w:rsidRDefault="00F95A9A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B856EC" w:rsidRPr="00B856EC" w:rsidRDefault="00B856EC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pStyle w:val="Heading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95A9A" w:rsidRPr="00B856EC" w:rsidRDefault="00F95A9A" w:rsidP="00B856EC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B856EC">
        <w:rPr>
          <w:rFonts w:ascii="Times New Roman" w:hAnsi="Times New Roman" w:cs="Times New Roman"/>
          <w:bCs w:val="0"/>
          <w:sz w:val="20"/>
          <w:szCs w:val="20"/>
        </w:rPr>
        <w:t>P R O G R A M A</w:t>
      </w: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 xml:space="preserve">PENTRU EXAMENUL NAȚIONAL DE </w:t>
      </w:r>
      <w:r w:rsidRPr="00B856EC">
        <w:rPr>
          <w:rFonts w:ascii="Times New Roman" w:hAnsi="Times New Roman" w:cs="Times New Roman"/>
          <w:b/>
          <w:bCs/>
          <w:sz w:val="20"/>
          <w:szCs w:val="20"/>
        </w:rPr>
        <w:t>DEFINITIVARE</w:t>
      </w:r>
      <w:r w:rsidRPr="00B856EC">
        <w:rPr>
          <w:rFonts w:ascii="Times New Roman" w:hAnsi="Times New Roman" w:cs="Times New Roman"/>
          <w:b/>
          <w:sz w:val="20"/>
          <w:szCs w:val="20"/>
        </w:rPr>
        <w:t xml:space="preserve"> ÎN ÎNVĂȚĂMÂNT</w:t>
      </w: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 xml:space="preserve">DISCIPLINA DE EXAMEN:  </w:t>
      </w: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RELIGIE UNITARIANĂ</w:t>
      </w: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56EC" w:rsidRPr="00B856EC" w:rsidRDefault="00B856EC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95A9A" w:rsidRPr="00B856EC" w:rsidRDefault="00F95A9A" w:rsidP="00B856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2015</w:t>
      </w:r>
    </w:p>
    <w:p w:rsidR="00ED6A14" w:rsidRPr="00B856EC" w:rsidRDefault="00B856EC" w:rsidP="00B856EC">
      <w:pPr>
        <w:pStyle w:val="Style10"/>
        <w:widowControl/>
        <w:spacing w:line="240" w:lineRule="auto"/>
        <w:rPr>
          <w:rFonts w:ascii="Times New Roman" w:hAnsi="Times New Roman" w:cs="Times New Roman"/>
          <w:b/>
          <w:bCs/>
          <w:sz w:val="20"/>
          <w:szCs w:val="20"/>
          <w:lang w:val="ro-RO" w:eastAsia="ro-RO"/>
        </w:rPr>
      </w:pPr>
      <w:r>
        <w:rPr>
          <w:rStyle w:val="FontStyle24"/>
          <w:rFonts w:ascii="Times New Roman" w:hAnsi="Times New Roman" w:cs="Times New Roman"/>
          <w:b/>
          <w:bCs/>
          <w:sz w:val="20"/>
          <w:szCs w:val="20"/>
          <w:lang w:val="ro-RO" w:eastAsia="ro-RO"/>
        </w:rPr>
        <w:lastRenderedPageBreak/>
        <w:tab/>
      </w:r>
      <w:r w:rsidR="00ED6A14" w:rsidRPr="00B856EC">
        <w:rPr>
          <w:rStyle w:val="FontStyle24"/>
          <w:rFonts w:ascii="Times New Roman" w:hAnsi="Times New Roman" w:cs="Times New Roman"/>
          <w:b/>
          <w:bCs/>
          <w:sz w:val="20"/>
          <w:szCs w:val="20"/>
          <w:lang w:val="ro-RO" w:eastAsia="ro-RO"/>
        </w:rPr>
        <w:t xml:space="preserve">A. </w:t>
      </w:r>
      <w:r w:rsidR="00BC2BF8" w:rsidRPr="00B856EC">
        <w:rPr>
          <w:rStyle w:val="FontStyle24"/>
          <w:rFonts w:ascii="Times New Roman" w:hAnsi="Times New Roman" w:cs="Times New Roman"/>
          <w:b/>
          <w:bCs/>
          <w:sz w:val="20"/>
          <w:szCs w:val="20"/>
          <w:lang w:val="ro-RO" w:eastAsia="ro-RO"/>
        </w:rPr>
        <w:t>Notă de prezentare</w:t>
      </w:r>
    </w:p>
    <w:p w:rsidR="006B3A19" w:rsidRPr="00B856EC" w:rsidRDefault="00BC2BF8" w:rsidP="00B856EC">
      <w:pPr>
        <w:pStyle w:val="Style10"/>
        <w:spacing w:line="240" w:lineRule="auto"/>
        <w:ind w:firstLine="720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Prezenta programă se adresează profesorilor care sus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in examenul na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ional de definitivare în învă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ământul preuniversitar în specializarea </w:t>
      </w:r>
      <w:r w:rsidR="00F84895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 xml:space="preserve">Religie </w:t>
      </w:r>
      <w:r w:rsidR="00AC39B1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>Unitariană</w:t>
      </w:r>
      <w:r w:rsidR="00F84895"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. 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Con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inutul şi structura programei sunt elaborate în aşa fel încât să răspundă schimbărilor impuse de abordarea curriculară sistemică în rea</w:t>
      </w:r>
      <w:r w:rsidR="00867015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lizarea procesului educa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="00867015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ional.</w:t>
      </w:r>
      <w:r w:rsidR="00E275A6"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="006B3A19" w:rsidRPr="00B856EC">
        <w:rPr>
          <w:rStyle w:val="FontStyle44"/>
          <w:sz w:val="20"/>
          <w:szCs w:val="20"/>
          <w:lang w:val="ro-RO" w:eastAsia="ro-RO"/>
        </w:rPr>
        <w:t>Programa este elaborată în acord cu programele şcolare în vigoare din învă</w:t>
      </w:r>
      <w:r w:rsidR="00487A32" w:rsidRPr="00B856EC">
        <w:rPr>
          <w:rStyle w:val="FontStyle44"/>
          <w:sz w:val="20"/>
          <w:szCs w:val="20"/>
          <w:lang w:val="ro-RO" w:eastAsia="ro-RO"/>
        </w:rPr>
        <w:t>ţ</w:t>
      </w:r>
      <w:r w:rsidR="006B3A19" w:rsidRPr="00B856EC">
        <w:rPr>
          <w:rStyle w:val="FontStyle44"/>
          <w:sz w:val="20"/>
          <w:szCs w:val="20"/>
          <w:lang w:val="ro-RO" w:eastAsia="ro-RO"/>
        </w:rPr>
        <w:t>ământul preuniversitar pentru disciplina religie. Competen</w:t>
      </w:r>
      <w:r w:rsidR="00487A32" w:rsidRPr="00B856EC">
        <w:rPr>
          <w:rStyle w:val="FontStyle44"/>
          <w:sz w:val="20"/>
          <w:szCs w:val="20"/>
          <w:lang w:val="ro-RO" w:eastAsia="ro-RO"/>
        </w:rPr>
        <w:t>ţ</w:t>
      </w:r>
      <w:r w:rsidR="006B3A19" w:rsidRPr="00B856EC">
        <w:rPr>
          <w:rStyle w:val="FontStyle44"/>
          <w:sz w:val="20"/>
          <w:szCs w:val="20"/>
          <w:lang w:val="ro-RO" w:eastAsia="ro-RO"/>
        </w:rPr>
        <w:t>ele şi con</w:t>
      </w:r>
      <w:r w:rsidR="00487A32" w:rsidRPr="00B856EC">
        <w:rPr>
          <w:rStyle w:val="FontStyle44"/>
          <w:sz w:val="20"/>
          <w:szCs w:val="20"/>
          <w:lang w:val="ro-RO" w:eastAsia="ro-RO"/>
        </w:rPr>
        <w:t>ţ</w:t>
      </w:r>
      <w:r w:rsidR="006B3A19" w:rsidRPr="00B856EC">
        <w:rPr>
          <w:rStyle w:val="FontStyle44"/>
          <w:sz w:val="20"/>
          <w:szCs w:val="20"/>
          <w:lang w:val="ro-RO" w:eastAsia="ro-RO"/>
        </w:rPr>
        <w:t>inuturile din programă sunt proiectate în conformitate cu abordarea curriculară sistemică în realizarea activită</w:t>
      </w:r>
      <w:r w:rsidR="00487A32" w:rsidRPr="00B856EC">
        <w:rPr>
          <w:rStyle w:val="FontStyle44"/>
          <w:sz w:val="20"/>
          <w:szCs w:val="20"/>
          <w:lang w:val="ro-RO" w:eastAsia="ro-RO"/>
        </w:rPr>
        <w:t>ţ</w:t>
      </w:r>
      <w:r w:rsidR="006B3A19" w:rsidRPr="00B856EC">
        <w:rPr>
          <w:rStyle w:val="FontStyle44"/>
          <w:sz w:val="20"/>
          <w:szCs w:val="20"/>
          <w:lang w:val="ro-RO" w:eastAsia="ro-RO"/>
        </w:rPr>
        <w:t>ilor didactice, specifice disciplinei.</w:t>
      </w:r>
    </w:p>
    <w:p w:rsidR="00ED6A14" w:rsidRPr="00B856EC" w:rsidRDefault="00ED6A14" w:rsidP="00B856EC">
      <w:pPr>
        <w:pStyle w:val="Style10"/>
        <w:spacing w:line="240" w:lineRule="auto"/>
        <w:ind w:firstLine="720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Absolven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ii facultă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ilor de profil şi profesorii care sus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in </w:t>
      </w:r>
      <w:r w:rsidR="00BC2BF8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examenul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 la disciplina </w:t>
      </w:r>
      <w:r w:rsidR="00F84895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 xml:space="preserve">Religie </w:t>
      </w:r>
      <w:r w:rsidR="00AC39B1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>Unitariană</w:t>
      </w:r>
      <w:r w:rsidR="00F84895"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pot preda în învă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ământul preuniversitar disciplin</w:t>
      </w:r>
      <w:r w:rsidR="00DC7A1B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a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 </w:t>
      </w:r>
      <w:r w:rsidR="00867015" w:rsidRPr="00B856EC">
        <w:rPr>
          <w:rStyle w:val="FontStyle26"/>
          <w:rFonts w:ascii="Times New Roman" w:hAnsi="Times New Roman" w:cs="Times New Roman"/>
          <w:bCs w:val="0"/>
          <w:i/>
          <w:iCs/>
          <w:sz w:val="20"/>
          <w:szCs w:val="20"/>
          <w:lang w:val="ro-RO" w:eastAsia="ro-RO"/>
        </w:rPr>
        <w:t xml:space="preserve">Religie </w:t>
      </w:r>
      <w:r w:rsidR="00AC39B1" w:rsidRPr="00B856EC">
        <w:rPr>
          <w:rStyle w:val="FontStyle26"/>
          <w:rFonts w:ascii="Times New Roman" w:hAnsi="Times New Roman" w:cs="Times New Roman"/>
          <w:bCs w:val="0"/>
          <w:i/>
          <w:iCs/>
          <w:sz w:val="20"/>
          <w:szCs w:val="20"/>
          <w:lang w:val="ro-RO" w:eastAsia="ro-RO"/>
        </w:rPr>
        <w:t>Unitariană</w:t>
      </w:r>
      <w:r w:rsidR="00EB1916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 xml:space="preserve"> </w:t>
      </w:r>
      <w:r w:rsidR="00EB1916" w:rsidRPr="00B856EC">
        <w:rPr>
          <w:rStyle w:val="FontStyle26"/>
          <w:rFonts w:ascii="Times New Roman" w:hAnsi="Times New Roman" w:cs="Times New Roman"/>
          <w:b w:val="0"/>
          <w:bCs w:val="0"/>
          <w:iCs/>
          <w:sz w:val="20"/>
          <w:szCs w:val="20"/>
          <w:lang w:val="ro-RO"/>
        </w:rPr>
        <w:t>și</w:t>
      </w:r>
      <w:r w:rsidR="00EB1916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/>
        </w:rPr>
        <w:t xml:space="preserve"> </w:t>
      </w:r>
      <w:r w:rsidR="00EB1916" w:rsidRPr="00B856EC">
        <w:rPr>
          <w:rStyle w:val="FontStyle26"/>
          <w:rFonts w:ascii="Times New Roman" w:hAnsi="Times New Roman" w:cs="Times New Roman"/>
          <w:bCs w:val="0"/>
          <w:i/>
          <w:iCs/>
          <w:sz w:val="20"/>
          <w:szCs w:val="20"/>
          <w:lang w:val="ro-RO"/>
        </w:rPr>
        <w:t>Discipline Teologice de Specialitate</w:t>
      </w:r>
      <w:r w:rsidR="00EB1916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/>
        </w:rPr>
        <w:t>,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 în conformitate cu prevederile </w:t>
      </w:r>
      <w:r w:rsidR="00BC2BF8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legale 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în vigoare.</w:t>
      </w:r>
    </w:p>
    <w:p w:rsidR="00F9742A" w:rsidRPr="00B856EC" w:rsidRDefault="00F9742A" w:rsidP="00B856EC">
      <w:pPr>
        <w:pStyle w:val="Style10"/>
        <w:spacing w:line="240" w:lineRule="auto"/>
        <w:ind w:firstLine="720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Programa a fost structurată astfel încât să abordeze conţinuturi din următoarele domenii teologice:</w:t>
      </w:r>
      <w:r w:rsidR="00AC39B1" w:rsidRPr="00B856EC">
        <w:rPr>
          <w:rFonts w:ascii="Times New Roman" w:eastAsia="MS Mincho" w:hAnsi="Times New Roman" w:cs="Times New Roman"/>
          <w:i/>
          <w:sz w:val="20"/>
          <w:szCs w:val="20"/>
          <w:lang w:val="ro-RO" w:eastAsia="ro-RO"/>
        </w:rPr>
        <w:t xml:space="preserve"> </w:t>
      </w:r>
      <w:r w:rsidR="00AC39B1" w:rsidRPr="00B856EC">
        <w:rPr>
          <w:rFonts w:ascii="Times New Roman" w:hAnsi="Times New Roman" w:cs="Times New Roman"/>
          <w:i/>
          <w:sz w:val="20"/>
          <w:szCs w:val="20"/>
          <w:lang w:val="ro-RO" w:eastAsia="ro-RO"/>
        </w:rPr>
        <w:t>Teologia biblică a Vechiului Testament şi a Noului Testament, Istoria Bisericii Unitariene, Etica, Dogmatica</w:t>
      </w:r>
      <w:r w:rsidR="00AB49D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, precum şi din 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domeniul Didacticii Religiei.</w:t>
      </w:r>
    </w:p>
    <w:p w:rsidR="00ED6A14" w:rsidRPr="00B856EC" w:rsidRDefault="00ED6A14" w:rsidP="00B856EC">
      <w:pPr>
        <w:pStyle w:val="Style10"/>
        <w:widowControl/>
        <w:spacing w:line="240" w:lineRule="auto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ab/>
      </w:r>
      <w:r w:rsidR="00550929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Aspectele fundamentale vizate prin prezenta programă operaţionalizează profilul absolventului de învăţământ superior, filiera teologică, urmărind:</w:t>
      </w:r>
    </w:p>
    <w:p w:rsidR="00ED6A14" w:rsidRPr="00B856EC" w:rsidRDefault="00ED6A14" w:rsidP="00B856EC">
      <w:pPr>
        <w:pStyle w:val="Style10"/>
        <w:widowControl/>
        <w:numPr>
          <w:ilvl w:val="0"/>
          <w:numId w:val="1"/>
        </w:numPr>
        <w:spacing w:line="240" w:lineRule="auto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cunoaşterea con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inuturilor fundamentale şi a principalelor tendin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e în evolu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ia disciplinei </w:t>
      </w:r>
      <w:r w:rsidR="00865A06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 xml:space="preserve">Religie </w:t>
      </w:r>
      <w:r w:rsidR="00AC39B1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>Unitariană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, precum şi a metodicii disciplinei;</w:t>
      </w:r>
    </w:p>
    <w:p w:rsidR="00ED6A14" w:rsidRPr="00B856EC" w:rsidRDefault="00ED6A14" w:rsidP="00B856EC">
      <w:pPr>
        <w:pStyle w:val="Style11"/>
        <w:widowControl/>
        <w:numPr>
          <w:ilvl w:val="0"/>
          <w:numId w:val="1"/>
        </w:numPr>
        <w:tabs>
          <w:tab w:val="left" w:pos="1085"/>
        </w:tabs>
        <w:spacing w:line="240" w:lineRule="auto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probarea capacită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ilor necesare pentru proiectarea, realizarea şi evaluarea activită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ilor didactice;</w:t>
      </w:r>
    </w:p>
    <w:p w:rsidR="00ED6A14" w:rsidRPr="00B856EC" w:rsidRDefault="00ED6A14" w:rsidP="00B856EC">
      <w:pPr>
        <w:pStyle w:val="Style11"/>
        <w:widowControl/>
        <w:numPr>
          <w:ilvl w:val="0"/>
          <w:numId w:val="1"/>
        </w:numPr>
        <w:tabs>
          <w:tab w:val="left" w:pos="1085"/>
        </w:tabs>
        <w:spacing w:line="240" w:lineRule="auto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demonstrarea abilită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ilor de comunicare, empatice şi de cooperare necesare realizării actului educa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ional.</w:t>
      </w:r>
    </w:p>
    <w:p w:rsidR="00B856EC" w:rsidRDefault="00BC2BF8" w:rsidP="00B856EC">
      <w:pPr>
        <w:pStyle w:val="Style11"/>
        <w:widowControl/>
        <w:tabs>
          <w:tab w:val="left" w:pos="1085"/>
        </w:tabs>
        <w:spacing w:line="240" w:lineRule="auto"/>
        <w:ind w:left="720" w:firstLine="0"/>
        <w:jc w:val="left"/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ab/>
      </w:r>
    </w:p>
    <w:p w:rsidR="00ED6A14" w:rsidRPr="00B856EC" w:rsidRDefault="00ED6A14" w:rsidP="00B856EC">
      <w:pPr>
        <w:pStyle w:val="Style11"/>
        <w:widowControl/>
        <w:tabs>
          <w:tab w:val="left" w:pos="1085"/>
        </w:tabs>
        <w:spacing w:line="240" w:lineRule="auto"/>
        <w:ind w:left="720" w:firstLine="0"/>
        <w:jc w:val="left"/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 xml:space="preserve">B. </w:t>
      </w:r>
      <w:r w:rsidR="00BC2BF8"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>Competen</w:t>
      </w:r>
      <w:r w:rsidR="00487A32"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="00BC2BF8"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 xml:space="preserve">e specifice profesorului de </w:t>
      </w:r>
      <w:r w:rsidR="00A85F96"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>religie</w:t>
      </w:r>
    </w:p>
    <w:p w:rsidR="003D6AA3" w:rsidRPr="00B856EC" w:rsidRDefault="003D6AA3" w:rsidP="00B856EC">
      <w:pPr>
        <w:pStyle w:val="Style12"/>
        <w:widowControl/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Programa vizează, pe lângă con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inuturile ştiin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ifice şi cele de metodică a disciplinelor, anumite competen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e specifice profesorului de </w:t>
      </w:r>
      <w:r w:rsidR="002C0FB8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 xml:space="preserve">Religie </w:t>
      </w:r>
      <w:r w:rsidR="00AC39B1" w:rsidRPr="00B856EC">
        <w:rPr>
          <w:rStyle w:val="FontStyle26"/>
          <w:rFonts w:ascii="Times New Roman" w:hAnsi="Times New Roman" w:cs="Times New Roman"/>
          <w:b w:val="0"/>
          <w:bCs w:val="0"/>
          <w:i/>
          <w:iCs/>
          <w:sz w:val="20"/>
          <w:szCs w:val="20"/>
          <w:lang w:val="ro-RO" w:eastAsia="ro-RO"/>
        </w:rPr>
        <w:t>Unitariană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, competen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e pe care acesta trebuie să şi le dezvolte şi probeze pe parcursul desfăşurării activită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ii didactice. Într-o formulare sintetică, aceste competen</w:t>
      </w:r>
      <w:r w:rsidR="00487A3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ţ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e sunt:</w:t>
      </w:r>
    </w:p>
    <w:p w:rsidR="009747AE" w:rsidRPr="00B856EC" w:rsidRDefault="009747AE" w:rsidP="00B856EC">
      <w:pPr>
        <w:pStyle w:val="Style12"/>
        <w:widowControl/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cunoaşterea de către profesor a adevărurilor fundamentale de credinţă şi a elementelor de didactica religiei;</w:t>
      </w:r>
    </w:p>
    <w:p w:rsidR="009747AE" w:rsidRPr="00B856EC" w:rsidRDefault="009747AE" w:rsidP="00B856EC">
      <w:pPr>
        <w:pStyle w:val="Style12"/>
        <w:widowControl/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• capacitatea de a înţelege, practica şi transmite valorile </w:t>
      </w:r>
      <w:r w:rsidR="00CC270F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morale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 şi spirituale specifice acestei discipline;</w:t>
      </w:r>
    </w:p>
    <w:p w:rsidR="001D0587" w:rsidRPr="00B856EC" w:rsidRDefault="00AB49D2" w:rsidP="00B856EC">
      <w:pPr>
        <w:pStyle w:val="Style12"/>
        <w:widowControl/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cunoaș</w:t>
      </w:r>
      <w:r w:rsidR="009747AE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terea şi utilizarea competentă a principalelor documente şcolare reglatoare: planuri-cadru, programe şcolare</w:t>
      </w:r>
      <w:r w:rsidR="002759C3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, programe pentru examene naţionale;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capacitatea de a construi demersuri didactice interactive prin adecvarea strategiilor didactice la activitățile de învățare</w:t>
      </w:r>
      <w:r w:rsidRPr="00B856EC">
        <w:rPr>
          <w:rFonts w:ascii="Times New Roman" w:hAnsi="Times New Roman" w:cs="Times New Roman"/>
          <w:sz w:val="20"/>
          <w:szCs w:val="20"/>
        </w:rPr>
        <w:t xml:space="preserve"> şi 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conţinuturi, precum şi capacitatea de a construi şi menţine un climat educativ stimulativ şi eficient;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capacitatea de a adecva conţinuturile şi demersurile didactice la particularităţile de vârstă şi la specificul dezvoltării cognitiv-afective / intelectuale a elevilor;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probarea capacităţilor necesare pentru proiectarea, realizarea, evaluarea act</w:t>
      </w:r>
      <w:r w:rsidR="00AB49D2"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ivităţilor didactice şi a competenț</w:t>
      </w: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elor dobândite de elevi;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elaborarea de teste iniţiale, formative şi sumative, în funcţie de obiectivele sau competenţele vizate;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capacitatea de proiectare şi realizare a demersului didactic trans-, inter- intra- şi multidisciplinar;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utilizarea abilităţilor de comunicare, empatice şi de cooperare, necesare realizării activităţilor didactice specifice disciplinei Religie;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folosirea şi contextualizarea tehnicilor comunicării eficiente cu grupul de elevi, conform principiilor şi metodelor interacţiunii educaţionale şi ale unor elemente de retorică didactică;</w:t>
      </w:r>
    </w:p>
    <w:p w:rsidR="0060289C" w:rsidRPr="00B856EC" w:rsidRDefault="0060289C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>• evaluarea capacităţilor cognitive, comprehensive şi de aplicare a achiziţiilor, în scopul reglării competenţelor, a stilului didactic precum şi a abordării strategiilor didactice moderne;</w:t>
      </w:r>
    </w:p>
    <w:p w:rsidR="00AB49D2" w:rsidRPr="00B856EC" w:rsidRDefault="00AB49D2" w:rsidP="00B856EC">
      <w:pPr>
        <w:pStyle w:val="Style12"/>
        <w:widowControl/>
        <w:tabs>
          <w:tab w:val="left" w:pos="1134"/>
        </w:tabs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</w:p>
    <w:p w:rsidR="00F32B97" w:rsidRPr="00B856EC" w:rsidRDefault="000C0B1D" w:rsidP="00B856EC">
      <w:pPr>
        <w:pStyle w:val="Style8"/>
        <w:widowControl/>
        <w:spacing w:line="240" w:lineRule="auto"/>
        <w:ind w:firstLine="720"/>
        <w:jc w:val="left"/>
        <w:rPr>
          <w:rFonts w:ascii="Times New Roman" w:hAnsi="Times New Roman" w:cs="Times New Roman"/>
          <w:b/>
          <w:bCs/>
          <w:sz w:val="20"/>
          <w:szCs w:val="20"/>
          <w:lang w:val="ro-RO" w:eastAsia="ro-RO"/>
        </w:rPr>
      </w:pPr>
      <w:r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 xml:space="preserve">C. </w:t>
      </w:r>
      <w:r w:rsidR="00BC2BF8" w:rsidRPr="00B856EC">
        <w:rPr>
          <w:rStyle w:val="FontStyle26"/>
          <w:rFonts w:ascii="Times New Roman" w:hAnsi="Times New Roman" w:cs="Times New Roman"/>
          <w:sz w:val="20"/>
          <w:szCs w:val="20"/>
          <w:lang w:val="ro-RO" w:eastAsia="ro-RO"/>
        </w:rPr>
        <w:t xml:space="preserve">Tematica la disciplina de specialitate </w:t>
      </w: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56EC">
        <w:rPr>
          <w:rFonts w:ascii="Times New Roman" w:hAnsi="Times New Roman" w:cs="Times New Roman"/>
          <w:b/>
          <w:sz w:val="20"/>
          <w:szCs w:val="20"/>
          <w:u w:val="single"/>
        </w:rPr>
        <w:t>I. Discipline de specialitate</w:t>
      </w: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I. 1. Teologia biblică a Vechiului Testament şi a Noului Testament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Geneza în Biblie şi în mitologie – unitatea lui Dumnezeu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Omul şi formarea lui în oglinda primelor întâmplări biblice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Profeţii mari şi mici -  caracterizare generală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Literatura filosofică (psalmii)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Sursele referitoare la viaţa lui Iisus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Viaţa şi activitatea lui Iisus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Predica de pe munte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Pildele lui Iisus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9. Misiunile apostolului Pavel.</w:t>
      </w:r>
    </w:p>
    <w:p w:rsidR="00AB49D2" w:rsidRPr="00B856EC" w:rsidRDefault="00AB49D2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Bibliografie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Everett Ferguson: A kereszténység bölcsője, Osiris, Budapest, 1999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Vermes Géza: Jézus változó arcai, Osiris, Budapest, 2001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lastRenderedPageBreak/>
        <w:t>3. John Bright: Izrael története, Kálvin Kiadó, Budapest, 2001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Bibliai enciklopédia, The Lion Kiadó, Budapest, 2000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Bibliai atlasz, Kálvin Kiadó, Budapest, 1994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Czire Szabolcs: A történeti Jézus. A kutatás múltja és jelene. Presa Universitară Clujeană, 2009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Újszövetségi bevezetés interdiszciplináris megközelítésben. Presa Universitară Clujeană, 2010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Gerd Theissen: Az őskereszténység élményvilága és magatartásformái. Kálvin Kiadó, 2008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I. 2. Istoria Bisericii Unitariene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Începuturile reformei în Transilvania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Viaţa şi activitatea reformatorului Dávid Ferenc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Înfiinţarea Bisericii Unitariene, Dieta de la Turda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Biserica Unitariană la sfârşitul secolului al XVI-lea. Viaţa şi activitatea episcopului Enyedi György (1555-1597)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Complanaţia Desiană şi consecinţele acestuia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Benefactorii Bisericii Unitariene din secolele XVIII-XIX.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Scurt istoric al celor două Colegii unitariene.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Viaţa şi activitatea episcopului Ferencz József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9. Rolul Bisericii Unitariene în societatea maghiară din România în perioada interbelică.</w:t>
      </w:r>
    </w:p>
    <w:p w:rsidR="00AB49D2" w:rsidRPr="00B856EC" w:rsidRDefault="00AB49D2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Bibliografie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Balázs Mihály: Dávid Ferenc életútja. In: Reneszánsz Kolozsvár, Kolozsvár, 2008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Benda Kálmán: Az 1568. évi tordai országgyűlés és az erdélyi vallásszabadság. In: Erdélyi Múzeum, 1994, nr: 3-4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Buzogány Dezső: Harc a tiszta evangéliumért, Kolozsvár, 2004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Gaal György: A két világháború közti erdélyi magyar iskolák identitás-védelme Gál Kelemen munkásságának tükrében. In: Isten és ember szolgálatában, Kolozsvár, 2007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Enyedi György válogatott művei, Kriterion, 1997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Gaal György: Fejezetek a Kolozsvári Unitárius Kollégium történetéből, Kolozsvár, 2007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Kedei Mózes: Az Erdélyi Unitárius Egyház rövid története, Unitárius Egyház kiadványai, Kolozsvár, 2001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Kénosi Tőzsér János – Uzoni Fosztó István: Az erdélyi unitárius egyház története I., Kolozsvár, 2005.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9. Kénosi Tőzsér János – Uzoni Fosztó István: Az erdélyi unitárius egyház története I., Kolozsvár, 2009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10. Dr. Rezi Elek: Teológia és népszolgálat, Kolozsvár, 2007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11. Kovács Sándor: Unitárius egyháztörténet, Kolozsvár, 2009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I. 3. Etica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Obligaţiile omului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Virtuţiile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Conştiinţa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Liberul arbitriu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Ocrotirea vieţii în contextul poruncii VI – suicidul, eutanasia, avortul, alcoolism, consumul de droguri – Abordarea istorică, sociologică şi biblico-teologică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Bioetica: Transplantanţia, Biotehnologie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Ocrotirea creaţiei – Baze teologice, aspecte ecologice actuale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Familia, relaţiile omului – însuşirile familiei creştine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9. Etica globală – prezentarea ideilor de bază, problemele eticii globale.</w:t>
      </w:r>
    </w:p>
    <w:p w:rsidR="00AB49D2" w:rsidRPr="00B856EC" w:rsidRDefault="00AB49D2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Bibliografie: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Ferenczi Andrea: Genetika – Génetika, Budapest, 1999.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Kovács József: A modern orvosi etika alapjai, Budapest, 1997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Hans Küng: A világvallások etikája, Budapest, 1994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Hankiss Elemér: A tízparancsolat ma, Budapest, 2002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Péter László: TP 5.0. Elmélet és empíria öt globális társadalmi probléma vizsgálatában, Kolozsvár, 2009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Rezi Elek: Felelősségünk a ránk bízott életért, Kolozsvár, 2005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7. Rezi Elek: Unitárius erkölcstan, Kolozsvár, 2008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8. Reuss András – Orosz Gábor Viktor: Szabadulni az erőszaktól. Keresztény megközelítések., Budapest, 2005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I. 4. Dogmatica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Biblia – canonizarea, traducerile Bibliei, locul şi importanţa Bibliei în religia unitariană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2. Cunoştinţe de bază ale dogmaticii unitariene – credinţa creştină, raţiunea, autoritatea, toleranţa şi libertatea religioasă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Dumnezeu – problema demonstraţiei existenţei lui Dumnezeu, esenţa şi atributele lui Dumnezeu, caracteristicile metafizice şi trăsăturile etice ale lui Dumnezeu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lastRenderedPageBreak/>
        <w:t>4. Antropologia – originea omului, natura şi menirea omului, rugăciunea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Cristologie – persoana lui Iisus, învăţăturile lui Iisus, Înpărăţia lui Dumnezeu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Păcatul şi iertarea păcatului.</w:t>
      </w:r>
    </w:p>
    <w:p w:rsidR="00AB49D2" w:rsidRPr="00B856EC" w:rsidRDefault="00AB49D2" w:rsidP="00B856EC">
      <w:pPr>
        <w:rPr>
          <w:rFonts w:ascii="Times New Roman" w:hAnsi="Times New Roman" w:cs="Times New Roman"/>
          <w:sz w:val="20"/>
          <w:szCs w:val="20"/>
        </w:rPr>
      </w:pPr>
    </w:p>
    <w:p w:rsidR="00E67D51" w:rsidRPr="00B856EC" w:rsidRDefault="00E67D51" w:rsidP="00B856EC">
      <w:pPr>
        <w:rPr>
          <w:rFonts w:ascii="Times New Roman" w:hAnsi="Times New Roman" w:cs="Times New Roman"/>
          <w:b/>
          <w:sz w:val="20"/>
          <w:szCs w:val="20"/>
        </w:rPr>
      </w:pPr>
      <w:r w:rsidRPr="00B856EC">
        <w:rPr>
          <w:rFonts w:ascii="Times New Roman" w:hAnsi="Times New Roman" w:cs="Times New Roman"/>
          <w:b/>
          <w:sz w:val="20"/>
          <w:szCs w:val="20"/>
        </w:rPr>
        <w:t>Bibliografie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1. Alister E. McGrath: Bevezetés a keresztény teológiába, Budapest, 1995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 xml:space="preserve">2. Dávid Ferenc: Rövid magyarázat, Budapest, 2010 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3. Erdő János: Teológiai tanulmányok, Kolozsvár, 1996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4. Paul Tillich: Rendszeres teológia, Osiris, Budapest, 1996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5. Rezi Elek: Hisszük és valljuk, Kolozsvár, 2008</w:t>
      </w:r>
    </w:p>
    <w:p w:rsidR="00E67D51" w:rsidRPr="00B856EC" w:rsidRDefault="00E67D51" w:rsidP="00B856EC">
      <w:pPr>
        <w:rPr>
          <w:rFonts w:ascii="Times New Roman" w:hAnsi="Times New Roman" w:cs="Times New Roman"/>
          <w:sz w:val="20"/>
          <w:szCs w:val="20"/>
        </w:rPr>
      </w:pPr>
      <w:r w:rsidRPr="00B856EC">
        <w:rPr>
          <w:rFonts w:ascii="Times New Roman" w:hAnsi="Times New Roman" w:cs="Times New Roman"/>
          <w:sz w:val="20"/>
          <w:szCs w:val="20"/>
        </w:rPr>
        <w:t>6. Rezi Elek: „Az Úr, a mi Istenünk, egy Úr”, Kolozsvár, 2009</w:t>
      </w:r>
    </w:p>
    <w:p w:rsidR="000C0B1D" w:rsidRPr="00B856EC" w:rsidRDefault="000C0B1D" w:rsidP="00B856EC">
      <w:pPr>
        <w:pStyle w:val="Style8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ro-RO"/>
        </w:rPr>
      </w:pPr>
    </w:p>
    <w:p w:rsidR="008D1995" w:rsidRPr="00B856EC" w:rsidRDefault="008B5B36" w:rsidP="00B856EC">
      <w:pPr>
        <w:pStyle w:val="Style11"/>
        <w:tabs>
          <w:tab w:val="left" w:pos="370"/>
        </w:tabs>
        <w:spacing w:line="240" w:lineRule="auto"/>
        <w:ind w:firstLine="0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NOTĂ: </w:t>
      </w:r>
      <w:r w:rsidRPr="00B856EC">
        <w:rPr>
          <w:rFonts w:ascii="Times New Roman" w:hAnsi="Times New Roman" w:cs="Times New Roman"/>
          <w:sz w:val="20"/>
          <w:szCs w:val="20"/>
          <w:lang w:val="ro-RO"/>
        </w:rPr>
        <w:t xml:space="preserve">Bibliografia pentru disciplina de specialitate include </w:t>
      </w:r>
      <w:r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manualele 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de </w:t>
      </w:r>
      <w:r w:rsidR="00D86EB7" w:rsidRPr="00B856EC">
        <w:rPr>
          <w:rStyle w:val="FontStyle29"/>
          <w:rFonts w:ascii="Times New Roman" w:hAnsi="Times New Roman" w:cs="Times New Roman"/>
          <w:i/>
          <w:sz w:val="20"/>
          <w:szCs w:val="20"/>
          <w:lang w:val="ro-RO" w:eastAsia="ro-RO"/>
        </w:rPr>
        <w:t xml:space="preserve">Religie </w:t>
      </w:r>
      <w:r w:rsidR="00E67D51" w:rsidRPr="00B856EC">
        <w:rPr>
          <w:rStyle w:val="FontStyle29"/>
          <w:rFonts w:ascii="Times New Roman" w:hAnsi="Times New Roman" w:cs="Times New Roman"/>
          <w:i/>
          <w:sz w:val="20"/>
          <w:szCs w:val="20"/>
          <w:lang w:val="ro-RO" w:eastAsia="ro-RO"/>
        </w:rPr>
        <w:t xml:space="preserve">Unitariană </w:t>
      </w:r>
      <w:r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>cuprinse în Catalogul manualelor şcolare valabile în învă</w:t>
      </w:r>
      <w:r w:rsidR="00487A32"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>ţ</w:t>
      </w:r>
      <w:r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>ământul preuniversitar, în anul şcolar în care se sus</w:t>
      </w:r>
      <w:r w:rsidR="00487A32"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>ţ</w:t>
      </w:r>
      <w:r w:rsidRPr="00B856EC">
        <w:rPr>
          <w:rFonts w:ascii="Times New Roman" w:hAnsi="Times New Roman" w:cs="Times New Roman"/>
          <w:b/>
          <w:bCs/>
          <w:sz w:val="20"/>
          <w:szCs w:val="20"/>
          <w:lang w:val="ro-RO"/>
        </w:rPr>
        <w:t>ine examenul.</w:t>
      </w:r>
    </w:p>
    <w:p w:rsidR="00AB49D2" w:rsidRPr="00B856EC" w:rsidRDefault="00AB49D2" w:rsidP="00B856EC">
      <w:pPr>
        <w:pStyle w:val="Style11"/>
        <w:tabs>
          <w:tab w:val="left" w:pos="370"/>
        </w:tabs>
        <w:spacing w:line="240" w:lineRule="auto"/>
        <w:ind w:firstLine="0"/>
        <w:rPr>
          <w:rStyle w:val="FontStyle29"/>
          <w:rFonts w:ascii="Times New Roman" w:hAnsi="Times New Roman" w:cs="Times New Roman"/>
          <w:sz w:val="20"/>
          <w:szCs w:val="20"/>
          <w:lang w:val="ro-RO"/>
        </w:rPr>
      </w:pPr>
    </w:p>
    <w:p w:rsidR="008D1995" w:rsidRPr="00B856EC" w:rsidRDefault="000A6F4D" w:rsidP="00B856EC">
      <w:pPr>
        <w:pStyle w:val="Style16"/>
        <w:widowControl/>
        <w:spacing w:line="240" w:lineRule="auto"/>
        <w:ind w:right="84" w:hanging="5"/>
        <w:rPr>
          <w:rFonts w:ascii="Times New Roman" w:hAnsi="Times New Roman" w:cs="Times New Roman"/>
          <w:b/>
          <w:bCs/>
          <w:sz w:val="20"/>
          <w:szCs w:val="20"/>
          <w:lang w:val="ro-RO" w:eastAsia="ro-RO"/>
        </w:rPr>
      </w:pP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D</w:t>
      </w:r>
      <w:r w:rsidR="008D1995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. Tematica pentru </w:t>
      </w:r>
      <w:r w:rsidR="00721B78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didactica</w:t>
      </w:r>
      <w:r w:rsidR="008D1995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 disciplinei</w:t>
      </w:r>
      <w:r w:rsidR="00721B78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 de specialitate</w:t>
      </w:r>
    </w:p>
    <w:p w:rsidR="008D1995" w:rsidRPr="00B856EC" w:rsidRDefault="008D1995" w:rsidP="00B856EC">
      <w:pPr>
        <w:pStyle w:val="Style17"/>
        <w:widowControl/>
        <w:tabs>
          <w:tab w:val="left" w:pos="350"/>
        </w:tabs>
        <w:spacing w:line="240" w:lineRule="auto"/>
        <w:ind w:left="350"/>
        <w:jc w:val="both"/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b/>
          <w:bCs/>
          <w:sz w:val="20"/>
          <w:szCs w:val="20"/>
          <w:lang w:val="ro-RO" w:eastAsia="ro-RO"/>
        </w:rPr>
        <w:t>I.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ab/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Proiectarea, organizarea şi desfăşurarea activită</w:t>
      </w:r>
      <w:r w:rsidR="00487A32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ii didactice</w:t>
      </w:r>
    </w:p>
    <w:p w:rsidR="008D1995" w:rsidRPr="00B856EC" w:rsidRDefault="008D1995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Componentele curriculumului na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ional: planuri-cadru (trunchi comun, curriculum diferen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iat, curriculum la decizia şcolii/ curriculum în dezvoltare locală), programe şcolare, manuale şcolare, auxiliare curriculare; al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 termeni de referin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ă ai curriculumului na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ional: arii curriculare, discipline, module, standarde curriculare.</w:t>
      </w:r>
    </w:p>
    <w:p w:rsidR="008D1995" w:rsidRPr="00B856EC" w:rsidRDefault="008D1995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Proiectarea curriculumului la decizia şcolii/ curriculum în dezvoltare locală de tipul: aprofundare/ extindere/ op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="00D26595"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ional ca disciplină nouă; modalități de analiză a nevoilor specifice ale elevilor, modalități de selectare a CDS, modalități de dezvoltare a unei programe de CDS, exemple posibile pentru domeniul educației religioase.  </w:t>
      </w:r>
    </w:p>
    <w:p w:rsidR="008D1995" w:rsidRPr="00B856EC" w:rsidRDefault="008D1995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Competen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ele predării-învă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ării-evaluării la disciplin</w:t>
      </w:r>
      <w:r w:rsidR="00536BB9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a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="00536BB9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religie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. Competen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e generale, competen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e specifice. Opera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ionalizarea competen</w:t>
      </w:r>
      <w:r w:rsidR="00487A32" w:rsidRPr="00B856EC">
        <w:rPr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elor.</w:t>
      </w:r>
    </w:p>
    <w:p w:rsidR="00FC0BD8" w:rsidRPr="00B856EC" w:rsidRDefault="00FC0BD8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Programa şcolară: structura programei şcolare, utilizarea programei în proiectarea şi realizarea activităţilor didactice, manualele şi bibliografia;</w:t>
      </w:r>
    </w:p>
    <w:p w:rsidR="00FC0BD8" w:rsidRPr="00B856EC" w:rsidRDefault="00FC0BD8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Proiectarea activităţii didactice: planificare calendaristică, proiectarea unităţii de învăţare, proiectarea de activităţi de învăţare intra-, inter- şi transdisciplinare.</w:t>
      </w:r>
    </w:p>
    <w:p w:rsidR="00FC0BD8" w:rsidRPr="00B856EC" w:rsidRDefault="00FC0BD8" w:rsidP="00B856EC">
      <w:pPr>
        <w:pStyle w:val="Style17"/>
        <w:numPr>
          <w:ilvl w:val="0"/>
          <w:numId w:val="2"/>
        </w:numPr>
        <w:spacing w:line="240" w:lineRule="auto"/>
        <w:ind w:left="700" w:hanging="350"/>
        <w:jc w:val="both"/>
        <w:rPr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</w:rPr>
        <w:t>Lecţia. Tipuri de lecţie;</w:t>
      </w:r>
    </w:p>
    <w:p w:rsidR="008D1995" w:rsidRPr="00B856EC" w:rsidRDefault="002A4C60" w:rsidP="00B856EC">
      <w:pPr>
        <w:pStyle w:val="Style17"/>
        <w:spacing w:line="240" w:lineRule="auto"/>
        <w:ind w:firstLine="0"/>
        <w:jc w:val="both"/>
        <w:rPr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/>
          <w:sz w:val="20"/>
          <w:szCs w:val="20"/>
          <w:lang w:val="ro-RO" w:eastAsia="ro-RO"/>
        </w:rPr>
        <w:t xml:space="preserve">II. Principiile didactice generale. Principii didactice specifice predării religiei: </w:t>
      </w:r>
      <w:r w:rsidRPr="00B856EC">
        <w:rPr>
          <w:rFonts w:ascii="Times New Roman" w:hAnsi="Times New Roman" w:cs="Times New Roman"/>
          <w:sz w:val="20"/>
          <w:szCs w:val="20"/>
          <w:lang w:val="ro-RO" w:eastAsia="ro-RO"/>
        </w:rPr>
        <w:t>principiul eclesiologic.</w:t>
      </w:r>
    </w:p>
    <w:p w:rsidR="008D1995" w:rsidRPr="00B856EC" w:rsidRDefault="008D1995" w:rsidP="00B856EC">
      <w:pPr>
        <w:pStyle w:val="Style17"/>
        <w:widowControl/>
        <w:tabs>
          <w:tab w:val="left" w:pos="350"/>
        </w:tabs>
        <w:spacing w:line="240" w:lineRule="auto"/>
        <w:ind w:left="350"/>
        <w:jc w:val="both"/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II</w:t>
      </w:r>
      <w:r w:rsidR="00163318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I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.</w:t>
      </w:r>
      <w:r w:rsidRPr="00B856EC">
        <w:rPr>
          <w:rStyle w:val="FontStyle29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ab/>
      </w:r>
      <w:r w:rsidR="003B150B" w:rsidRPr="00B856EC">
        <w:rPr>
          <w:rStyle w:val="FontStyle29"/>
          <w:rFonts w:ascii="Times New Roman" w:hAnsi="Times New Roman" w:cs="Times New Roman"/>
          <w:b w:val="0"/>
          <w:bCs w:val="0"/>
          <w:sz w:val="20"/>
          <w:szCs w:val="20"/>
          <w:lang w:val="ro-RO" w:eastAsia="ro-RO"/>
        </w:rPr>
        <w:t xml:space="preserve"> 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Strategii didactice utilizate în procesul de predare-învă</w:t>
      </w:r>
      <w:r w:rsidR="00487A32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are-evaluare </w:t>
      </w:r>
    </w:p>
    <w:p w:rsidR="008D1995" w:rsidRPr="00B856EC" w:rsidRDefault="008D1995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706" w:hanging="36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Metode didactice: </w:t>
      </w:r>
      <w:r w:rsidR="00684587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clasificare, 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caracterizare</w:t>
      </w:r>
      <w:r w:rsidR="00955156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,</w:t>
      </w:r>
      <w:r w:rsidR="00AF198A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utilizarea metodelor centrate pe elev/ tehnicilor de învă</w:t>
      </w:r>
      <w:r w:rsidR="00487A32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are prin cooperare.</w:t>
      </w:r>
    </w:p>
    <w:p w:rsidR="008D1995" w:rsidRPr="00B856EC" w:rsidRDefault="008D1995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346" w:firstLine="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Forme de organizare a activită</w:t>
      </w:r>
      <w:r w:rsidR="00487A32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ii didactice: caracterizare, clasificare.</w:t>
      </w:r>
    </w:p>
    <w:p w:rsidR="003E4732" w:rsidRPr="00B856EC" w:rsidRDefault="003E4732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346" w:firstLine="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</w:rPr>
        <w:t>Forme de activitate extraşcolară specifice  disciplinei religie şi proiectarea acestora: cateheza, serbarea religioasă, vizitele şi pelerinajele, expoziţiile, cercurile pe disciplină, participarea la slujbele religioase.</w:t>
      </w:r>
    </w:p>
    <w:p w:rsidR="008D1995" w:rsidRPr="00B856EC" w:rsidRDefault="008D1995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706" w:hanging="36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Mijloacele de învă</w:t>
      </w:r>
      <w:r w:rsidR="00487A32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ământ utilizate în activitatea didactică: caracterizare, func</w:t>
      </w:r>
      <w:r w:rsidR="00487A32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ii, clasificare.</w:t>
      </w:r>
    </w:p>
    <w:p w:rsidR="003E4732" w:rsidRPr="00B856EC" w:rsidRDefault="003E4732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706" w:hanging="36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sz w:val="20"/>
          <w:szCs w:val="20"/>
        </w:rPr>
        <w:t>Mijloace de învăţământ specifice  disciplinei religie: textul biblic, literatura religioasă, portretul, harta, mijloacele audio- vizuale, calculatorul etc.</w:t>
      </w:r>
    </w:p>
    <w:p w:rsidR="008D1995" w:rsidRPr="00B856EC" w:rsidRDefault="008D1995" w:rsidP="00B856EC">
      <w:pPr>
        <w:pStyle w:val="Style11"/>
        <w:widowControl/>
        <w:numPr>
          <w:ilvl w:val="0"/>
          <w:numId w:val="3"/>
        </w:numPr>
        <w:tabs>
          <w:tab w:val="left" w:pos="706"/>
        </w:tabs>
        <w:spacing w:line="240" w:lineRule="auto"/>
        <w:ind w:left="706" w:hanging="360"/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Utilizarea tehnologiei informa</w:t>
      </w:r>
      <w:r w:rsidR="00487A32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iei şi comunicării în construirea unor medii active de instruire.</w:t>
      </w:r>
      <w:r w:rsidR="001543BA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 Exemplificări pentru ora de religie.</w:t>
      </w:r>
    </w:p>
    <w:p w:rsidR="008D1995" w:rsidRPr="00B856EC" w:rsidRDefault="008D1995" w:rsidP="00B856EC">
      <w:pPr>
        <w:pStyle w:val="Style11"/>
        <w:widowControl/>
        <w:tabs>
          <w:tab w:val="left" w:pos="426"/>
        </w:tabs>
        <w:spacing w:line="240" w:lineRule="auto"/>
        <w:ind w:firstLine="0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  <w:t>I</w:t>
      </w:r>
      <w:r w:rsidR="00163318" w:rsidRPr="00B856EC"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  <w:t>V</w:t>
      </w:r>
      <w:r w:rsidRPr="00B856EC"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  <w:t>.</w:t>
      </w:r>
      <w:r w:rsidRPr="00B856EC"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  <w:tab/>
        <w:t>Evaluarea procesului instructiv-educativ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Evaluarea de proces: obiective, caracterizare, funcţii, tipologie. Specificul evaluării la ora de religie.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Metode de evaluare: caracterizare, tipologie.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Instrumente de evaluare: caracterizare, calităţi (validitate, fidelitate, obiectivitate şi aplicabilitate).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Tipologia itemilor: definiţie, clasificări, caracteristici, domenii de utilizare, reguli de proiectare, modalităţi de evaluare şi de notare.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Style w:val="FontStyle30"/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Elaborarea probelor scrise: proiectarea testului docimologic, matricea de specificaţii.</w:t>
      </w:r>
    </w:p>
    <w:p w:rsidR="00AF7189" w:rsidRPr="00B856EC" w:rsidRDefault="00AF7189" w:rsidP="00B856EC">
      <w:pPr>
        <w:pStyle w:val="Style11"/>
        <w:widowControl/>
        <w:numPr>
          <w:ilvl w:val="0"/>
          <w:numId w:val="5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0"/>
          <w:szCs w:val="20"/>
          <w:lang w:val="ro-RO" w:eastAsia="ro-RO"/>
        </w:rPr>
      </w:pP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>Metode şi instrumente complementare de evaluare (referatul, proiectul, portofoliul, autoevaluarea, investigația, observarea sistematică a activității și comportamentului elevului).</w:t>
      </w:r>
    </w:p>
    <w:p w:rsidR="00163318" w:rsidRPr="00B856EC" w:rsidRDefault="00163318" w:rsidP="00B856EC">
      <w:pPr>
        <w:pStyle w:val="Style8"/>
        <w:widowControl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B856EC">
        <w:rPr>
          <w:rFonts w:ascii="Times New Roman" w:hAnsi="Times New Roman" w:cs="Times New Roman"/>
          <w:b/>
          <w:sz w:val="20"/>
          <w:szCs w:val="20"/>
          <w:lang w:val="ro-RO"/>
        </w:rPr>
        <w:t>V.</w:t>
      </w:r>
      <w:r w:rsidRPr="00B856EC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B856EC">
        <w:rPr>
          <w:rFonts w:ascii="Times New Roman" w:hAnsi="Times New Roman" w:cs="Times New Roman"/>
          <w:b/>
          <w:sz w:val="20"/>
          <w:szCs w:val="20"/>
          <w:lang w:val="ro-RO"/>
        </w:rPr>
        <w:t>Profesorul de religie</w:t>
      </w:r>
      <w:r w:rsidRPr="00B856EC">
        <w:rPr>
          <w:rFonts w:ascii="Times New Roman" w:hAnsi="Times New Roman" w:cs="Times New Roman"/>
          <w:sz w:val="20"/>
          <w:szCs w:val="20"/>
          <w:lang w:val="ro-RO"/>
        </w:rPr>
        <w:t xml:space="preserve"> – model şi formator de caractere în şcoala contemporană.</w:t>
      </w:r>
    </w:p>
    <w:p w:rsidR="00314A11" w:rsidRPr="00B856EC" w:rsidRDefault="00163318" w:rsidP="00B856EC">
      <w:pPr>
        <w:pStyle w:val="Style8"/>
        <w:widowControl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B856EC">
        <w:rPr>
          <w:rFonts w:ascii="Times New Roman" w:hAnsi="Times New Roman" w:cs="Times New Roman"/>
          <w:sz w:val="20"/>
          <w:szCs w:val="20"/>
          <w:lang w:val="ro-RO"/>
        </w:rPr>
        <w:t xml:space="preserve">Consilierea şi îndrumarea  </w:t>
      </w:r>
      <w:r w:rsidR="00E67D51" w:rsidRPr="00B856EC">
        <w:rPr>
          <w:rFonts w:ascii="Times New Roman" w:hAnsi="Times New Roman" w:cs="Times New Roman"/>
          <w:sz w:val="20"/>
          <w:szCs w:val="20"/>
          <w:lang w:val="ro-RO"/>
        </w:rPr>
        <w:t>spirituală</w:t>
      </w:r>
      <w:r w:rsidRPr="00B856EC">
        <w:rPr>
          <w:rFonts w:ascii="Times New Roman" w:hAnsi="Times New Roman" w:cs="Times New Roman"/>
          <w:sz w:val="20"/>
          <w:szCs w:val="20"/>
          <w:lang w:val="ro-RO"/>
        </w:rPr>
        <w:t xml:space="preserve"> în cadrul educaţiei religioase.</w:t>
      </w:r>
    </w:p>
    <w:p w:rsidR="003E652A" w:rsidRPr="00B856EC" w:rsidRDefault="003E652A" w:rsidP="00B856EC">
      <w:pPr>
        <w:pStyle w:val="Style8"/>
        <w:widowControl/>
        <w:spacing w:line="240" w:lineRule="auto"/>
        <w:jc w:val="both"/>
        <w:rPr>
          <w:rStyle w:val="FontStyle29"/>
          <w:rFonts w:ascii="Times New Roman" w:hAnsi="Times New Roman" w:cs="Times New Roman"/>
          <w:b w:val="0"/>
          <w:bCs w:val="0"/>
          <w:sz w:val="20"/>
          <w:szCs w:val="20"/>
          <w:lang w:val="ro-RO"/>
        </w:rPr>
      </w:pPr>
    </w:p>
    <w:p w:rsidR="008C21D7" w:rsidRPr="00B856EC" w:rsidRDefault="000A6F4D" w:rsidP="00B856EC">
      <w:pPr>
        <w:pStyle w:val="Style8"/>
        <w:widowControl/>
        <w:spacing w:line="240" w:lineRule="auto"/>
        <w:ind w:firstLine="357"/>
        <w:jc w:val="left"/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E</w:t>
      </w:r>
      <w:r w:rsidR="008D1995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. Bibliografie pentru </w:t>
      </w:r>
      <w:r w:rsidR="00721B78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didactica disciplinei de specialitate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Bancilă Vasile, Iniţierea religioasă a copilului, Editura Anastasia, 1996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Bocoş, M – Jucan, D: Teoria şi metodologia instruirii. Teoria şi metodologia evaluării, Paralela 45, 2007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Cucoş Constantin, Educaţia religioasă. Repere teoretice şi metodice, Polirom, Iaşi, 1999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lastRenderedPageBreak/>
        <w:t>Panoschi Mihaela, LIŢOIU Nicoleta, Pr. IORDĂCHESCU Nicolae, Ghid de evaluare, Religie, Aramis, Bucureşti,2001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 xml:space="preserve">Falus Iván: Didaktika. Javított és bővített kiadás, Nemzeti Tankönyvkiadó, Budapest, 2003 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Birta-Székely Noémi: A pedag</w:t>
      </w:r>
      <w:r w:rsidRPr="00B856EC">
        <w:rPr>
          <w:rFonts w:ascii="Times New Roman" w:hAnsi="Times New Roman" w:cs="Times New Roman"/>
          <w:bCs/>
          <w:sz w:val="20"/>
          <w:szCs w:val="20"/>
          <w:lang w:val="hu-HU" w:eastAsia="ro-RO"/>
        </w:rPr>
        <w:t>ógia alapjaitól az oktatás elméletéig</w:t>
      </w: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, Ábel Kiadó, Kolozsvár, 2010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Birta-Székely Noémi – Fóris-Ferenczi Rita (szerk): Pedagógiai Kézikönyv, Ábel Kiadó, Kolozsvár, 2008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Owe Wikström: A kifürkészhetetlen ember. Anima Kiadó, Budapest, 2000.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Fóris-Ferenczi Rita: A tervezéstől az értékelésig. Ábel Kiadó, Kolozsvár, 2008.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Barabási Tünde: Tanítástanulási és tanul</w:t>
      </w:r>
      <w:r w:rsidRPr="00B856EC">
        <w:rPr>
          <w:rFonts w:ascii="Times New Roman" w:hAnsi="Times New Roman" w:cs="Times New Roman"/>
          <w:bCs/>
          <w:sz w:val="20"/>
          <w:szCs w:val="20"/>
          <w:lang w:val="hu-HU" w:eastAsia="ro-RO"/>
        </w:rPr>
        <w:t>ástanítási</w:t>
      </w: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 xml:space="preserve"> alapismeretek, Presa Universitară Clujeană, 2008.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Mészáros Aranka (szerk.) (2002), Az iskola szociálpszichológiai jelenségvilága, Elte, Eötvös Kiadó, Bp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 xml:space="preserve">Hans Bruner (2004), Az oktatás kompetenciái, Aula, Bp. 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 xml:space="preserve"> Kagan, S. (2001), Kooperatív tanulás, Budapest, Önkonet Kft.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Nahalka István: Hogyan alakul ki a tudás a gyerekekben? Konstruktivizmus és pedagógia. Nemzeti Tankönyvkiadó, 2002. Bp</w:t>
      </w:r>
    </w:p>
    <w:p w:rsidR="00E67D51" w:rsidRPr="00B856EC" w:rsidRDefault="00E67D51" w:rsidP="00B856EC">
      <w:pPr>
        <w:pStyle w:val="Style9"/>
        <w:numPr>
          <w:ilvl w:val="0"/>
          <w:numId w:val="4"/>
        </w:numPr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  <w:r w:rsidRPr="00B856EC">
        <w:rPr>
          <w:rFonts w:ascii="Times New Roman" w:hAnsi="Times New Roman" w:cs="Times New Roman"/>
          <w:bCs/>
          <w:sz w:val="20"/>
          <w:szCs w:val="20"/>
          <w:lang w:val="ro-RO" w:eastAsia="ro-RO"/>
        </w:rPr>
        <w:t>Steele-Meredith-Temple: Az írás és olvasás a kritikai gondolkodás fejlesztése érdekében. I-VIII. Budapest, 1999.</w:t>
      </w:r>
    </w:p>
    <w:p w:rsidR="00AB49D2" w:rsidRPr="00B856EC" w:rsidRDefault="00AB49D2" w:rsidP="00B856EC">
      <w:pPr>
        <w:pStyle w:val="Style9"/>
        <w:ind w:left="720"/>
        <w:rPr>
          <w:rFonts w:ascii="Times New Roman" w:hAnsi="Times New Roman" w:cs="Times New Roman"/>
          <w:bCs/>
          <w:sz w:val="20"/>
          <w:szCs w:val="20"/>
          <w:lang w:val="ro-RO" w:eastAsia="ro-RO"/>
        </w:rPr>
      </w:pPr>
    </w:p>
    <w:p w:rsidR="008D1995" w:rsidRPr="00B856EC" w:rsidRDefault="008D1995" w:rsidP="00B856EC">
      <w:pPr>
        <w:pStyle w:val="Style9"/>
        <w:widowControl/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</w:pP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NOTĂ: 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Bibliografia pentru </w:t>
      </w:r>
      <w:r w:rsidR="003423DF" w:rsidRPr="00B856EC">
        <w:rPr>
          <w:rStyle w:val="FontStyle29"/>
          <w:rFonts w:ascii="Times New Roman" w:hAnsi="Times New Roman" w:cs="Times New Roman"/>
          <w:b w:val="0"/>
          <w:sz w:val="20"/>
          <w:szCs w:val="20"/>
          <w:lang w:val="ro-RO" w:eastAsia="ro-RO"/>
        </w:rPr>
        <w:t>didactica disciplinei de specialitate</w:t>
      </w:r>
      <w:r w:rsidR="003423DF"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Pr="00B856EC">
        <w:rPr>
          <w:rStyle w:val="FontStyle30"/>
          <w:rFonts w:ascii="Times New Roman" w:hAnsi="Times New Roman" w:cs="Times New Roman"/>
          <w:sz w:val="20"/>
          <w:szCs w:val="20"/>
          <w:lang w:val="ro-RO" w:eastAsia="ro-RO"/>
        </w:rPr>
        <w:t xml:space="preserve">include 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planurile-cadru și programele şcolare pentru disciplina </w:t>
      </w:r>
      <w:r w:rsidR="003423DF" w:rsidRPr="00B856EC">
        <w:rPr>
          <w:rStyle w:val="FontStyle29"/>
          <w:rFonts w:ascii="Times New Roman" w:hAnsi="Times New Roman" w:cs="Times New Roman"/>
          <w:i/>
          <w:sz w:val="20"/>
          <w:szCs w:val="20"/>
          <w:lang w:val="ro-RO" w:eastAsia="ro-RO"/>
        </w:rPr>
        <w:t>Religie</w:t>
      </w:r>
      <w:r w:rsidR="00F51A8A" w:rsidRPr="00B856EC">
        <w:rPr>
          <w:rStyle w:val="FontStyle29"/>
          <w:rFonts w:ascii="Times New Roman" w:hAnsi="Times New Roman" w:cs="Times New Roman"/>
          <w:i/>
          <w:sz w:val="20"/>
          <w:szCs w:val="20"/>
          <w:lang w:val="ro-RO" w:eastAsia="ro-RO"/>
        </w:rPr>
        <w:t xml:space="preserve"> </w:t>
      </w:r>
      <w:r w:rsidR="00E67D51" w:rsidRPr="00B856EC">
        <w:rPr>
          <w:rStyle w:val="FontStyle29"/>
          <w:rFonts w:ascii="Times New Roman" w:hAnsi="Times New Roman" w:cs="Times New Roman"/>
          <w:i/>
          <w:sz w:val="20"/>
          <w:szCs w:val="20"/>
          <w:lang w:val="ro-RO" w:eastAsia="ro-RO"/>
        </w:rPr>
        <w:t>Unitariană</w:t>
      </w:r>
      <w:r w:rsidR="00F51A8A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 xml:space="preserve"> 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valabile în anul şcolar în care se sus</w:t>
      </w:r>
      <w:r w:rsidR="00487A32"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ţ</w:t>
      </w:r>
      <w:r w:rsidRPr="00B856EC">
        <w:rPr>
          <w:rStyle w:val="FontStyle29"/>
          <w:rFonts w:ascii="Times New Roman" w:hAnsi="Times New Roman" w:cs="Times New Roman"/>
          <w:sz w:val="20"/>
          <w:szCs w:val="20"/>
          <w:lang w:val="ro-RO" w:eastAsia="ro-RO"/>
        </w:rPr>
        <w:t>ine examenul.</w:t>
      </w:r>
    </w:p>
    <w:p w:rsidR="0093750E" w:rsidRPr="00B856EC" w:rsidRDefault="0093750E" w:rsidP="00B856EC">
      <w:pPr>
        <w:pStyle w:val="Style8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ro-RO"/>
        </w:rPr>
      </w:pPr>
    </w:p>
    <w:sectPr w:rsidR="0093750E" w:rsidRPr="00B856EC" w:rsidSect="00282F32">
      <w:footerReference w:type="default" r:id="rId7"/>
      <w:headerReference w:type="first" r:id="rId8"/>
      <w:footerReference w:type="first" r:id="rId9"/>
      <w:type w:val="continuous"/>
      <w:pgSz w:w="11905" w:h="16837"/>
      <w:pgMar w:top="1089" w:right="1428" w:bottom="1276" w:left="1462" w:header="708" w:footer="708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93F" w:rsidRDefault="00FD293F">
      <w:r>
        <w:separator/>
      </w:r>
    </w:p>
  </w:endnote>
  <w:endnote w:type="continuationSeparator" w:id="0">
    <w:p w:rsidR="00FD293F" w:rsidRDefault="00FD2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50E" w:rsidRPr="005F542A" w:rsidRDefault="005E394A">
    <w:pPr>
      <w:pStyle w:val="Style12"/>
      <w:widowControl/>
      <w:spacing w:line="240" w:lineRule="auto"/>
      <w:ind w:left="4431" w:right="-15"/>
      <w:jc w:val="both"/>
      <w:rPr>
        <w:rStyle w:val="FontStyle27"/>
        <w:rFonts w:ascii="Times New Roman" w:hAnsi="Times New Roman" w:cs="Times New Roman"/>
        <w:sz w:val="20"/>
        <w:szCs w:val="20"/>
        <w:lang w:val="ro-RO" w:eastAsia="ro-RO"/>
      </w:rPr>
    </w:pPr>
    <w:r w:rsidRPr="005F542A">
      <w:rPr>
        <w:rStyle w:val="FontStyle27"/>
        <w:rFonts w:ascii="Times New Roman" w:hAnsi="Times New Roman" w:cs="Times New Roman"/>
        <w:sz w:val="20"/>
        <w:szCs w:val="20"/>
        <w:lang w:val="ro-RO" w:eastAsia="ro-RO"/>
      </w:rPr>
      <w:fldChar w:fldCharType="begin"/>
    </w:r>
    <w:r w:rsidR="0093750E" w:rsidRPr="005F542A">
      <w:rPr>
        <w:rStyle w:val="FontStyle27"/>
        <w:rFonts w:ascii="Times New Roman" w:hAnsi="Times New Roman" w:cs="Times New Roman"/>
        <w:sz w:val="20"/>
        <w:szCs w:val="20"/>
        <w:lang w:val="ro-RO" w:eastAsia="ro-RO"/>
      </w:rPr>
      <w:instrText>PAGE</w:instrText>
    </w:r>
    <w:r w:rsidRPr="005F542A">
      <w:rPr>
        <w:rStyle w:val="FontStyle27"/>
        <w:rFonts w:ascii="Times New Roman" w:hAnsi="Times New Roman" w:cs="Times New Roman"/>
        <w:sz w:val="20"/>
        <w:szCs w:val="20"/>
        <w:lang w:val="ro-RO" w:eastAsia="ro-RO"/>
      </w:rPr>
      <w:fldChar w:fldCharType="separate"/>
    </w:r>
    <w:r w:rsidR="00B856EC">
      <w:rPr>
        <w:rStyle w:val="FontStyle27"/>
        <w:rFonts w:ascii="Times New Roman" w:hAnsi="Times New Roman" w:cs="Times New Roman"/>
        <w:noProof/>
        <w:sz w:val="20"/>
        <w:szCs w:val="20"/>
        <w:lang w:val="ro-RO" w:eastAsia="ro-RO"/>
      </w:rPr>
      <w:t>5</w:t>
    </w:r>
    <w:r w:rsidRPr="005F542A">
      <w:rPr>
        <w:rStyle w:val="FontStyle27"/>
        <w:rFonts w:ascii="Times New Roman" w:hAnsi="Times New Roman" w:cs="Times New Roman"/>
        <w:sz w:val="20"/>
        <w:szCs w:val="20"/>
        <w:lang w:val="ro-RO" w:eastAsia="ro-RO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50E" w:rsidRDefault="0093750E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93F" w:rsidRDefault="00FD293F">
      <w:r>
        <w:separator/>
      </w:r>
    </w:p>
  </w:footnote>
  <w:footnote w:type="continuationSeparator" w:id="0">
    <w:p w:rsidR="00FD293F" w:rsidRDefault="00FD2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159" w:rsidRDefault="003A7159" w:rsidP="003A7159">
    <w:pPr>
      <w:pStyle w:val="Header"/>
      <w:jc w:val="center"/>
      <w:rPr>
        <w:rFonts w:eastAsia="MS Mincho"/>
        <w:b/>
        <w:bCs/>
        <w:color w:val="000080"/>
        <w:lang w:val="pt-BR" w:eastAsia="ja-JP"/>
      </w:rPr>
    </w:pPr>
  </w:p>
  <w:p w:rsidR="003A7159" w:rsidRDefault="003A7159" w:rsidP="003A7159">
    <w:pPr>
      <w:pStyle w:val="Header"/>
      <w:rPr>
        <w:b/>
        <w:bCs/>
        <w:color w:val="000080"/>
        <w:lang w:val="pt-BR"/>
      </w:rPr>
    </w:pPr>
  </w:p>
  <w:p w:rsidR="0033181A" w:rsidRPr="003A7159" w:rsidRDefault="0033181A" w:rsidP="003A7159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3A92"/>
    <w:multiLevelType w:val="singleLevel"/>
    <w:tmpl w:val="49DE5C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6ED448A"/>
    <w:multiLevelType w:val="multilevel"/>
    <w:tmpl w:val="D1703E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15604E"/>
    <w:multiLevelType w:val="hybridMultilevel"/>
    <w:tmpl w:val="57605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E180C"/>
    <w:multiLevelType w:val="hybridMultilevel"/>
    <w:tmpl w:val="88BAB804"/>
    <w:lvl w:ilvl="0" w:tplc="4C2A6A1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9DA5C5B"/>
    <w:multiLevelType w:val="hybridMultilevel"/>
    <w:tmpl w:val="8BB40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6A14"/>
    <w:rsid w:val="00034A93"/>
    <w:rsid w:val="000419C8"/>
    <w:rsid w:val="0006000E"/>
    <w:rsid w:val="000A6F4D"/>
    <w:rsid w:val="000C0B1D"/>
    <w:rsid w:val="000F0E2E"/>
    <w:rsid w:val="000F13CA"/>
    <w:rsid w:val="000F2492"/>
    <w:rsid w:val="001142FC"/>
    <w:rsid w:val="00115D35"/>
    <w:rsid w:val="00116FD3"/>
    <w:rsid w:val="001543BA"/>
    <w:rsid w:val="00156E2B"/>
    <w:rsid w:val="00157382"/>
    <w:rsid w:val="00163318"/>
    <w:rsid w:val="00164887"/>
    <w:rsid w:val="0017302C"/>
    <w:rsid w:val="001A7C98"/>
    <w:rsid w:val="001B374E"/>
    <w:rsid w:val="001C6559"/>
    <w:rsid w:val="001D0587"/>
    <w:rsid w:val="00202567"/>
    <w:rsid w:val="00202955"/>
    <w:rsid w:val="00214BBA"/>
    <w:rsid w:val="002732F5"/>
    <w:rsid w:val="002759C3"/>
    <w:rsid w:val="00282F32"/>
    <w:rsid w:val="00286A54"/>
    <w:rsid w:val="002A4C60"/>
    <w:rsid w:val="002B46EF"/>
    <w:rsid w:val="002C0FB8"/>
    <w:rsid w:val="002C6FD7"/>
    <w:rsid w:val="002F6A18"/>
    <w:rsid w:val="003056FA"/>
    <w:rsid w:val="00312811"/>
    <w:rsid w:val="00314A11"/>
    <w:rsid w:val="00324BBE"/>
    <w:rsid w:val="00327200"/>
    <w:rsid w:val="0033181A"/>
    <w:rsid w:val="0033712A"/>
    <w:rsid w:val="003423DF"/>
    <w:rsid w:val="00343D2A"/>
    <w:rsid w:val="0035204D"/>
    <w:rsid w:val="00352D15"/>
    <w:rsid w:val="003A7159"/>
    <w:rsid w:val="003B0F55"/>
    <w:rsid w:val="003B150B"/>
    <w:rsid w:val="003C515D"/>
    <w:rsid w:val="003D1F0A"/>
    <w:rsid w:val="003D6AA3"/>
    <w:rsid w:val="003E4732"/>
    <w:rsid w:val="003E652A"/>
    <w:rsid w:val="0040109F"/>
    <w:rsid w:val="0041084E"/>
    <w:rsid w:val="00421F6E"/>
    <w:rsid w:val="00464674"/>
    <w:rsid w:val="00465013"/>
    <w:rsid w:val="00487A32"/>
    <w:rsid w:val="004920FE"/>
    <w:rsid w:val="00495D40"/>
    <w:rsid w:val="004B51BD"/>
    <w:rsid w:val="004C46B4"/>
    <w:rsid w:val="00504DE7"/>
    <w:rsid w:val="00536BB9"/>
    <w:rsid w:val="005447A6"/>
    <w:rsid w:val="00550929"/>
    <w:rsid w:val="005558B5"/>
    <w:rsid w:val="005636FB"/>
    <w:rsid w:val="00584BD0"/>
    <w:rsid w:val="005852AB"/>
    <w:rsid w:val="005E394A"/>
    <w:rsid w:val="005F542A"/>
    <w:rsid w:val="0060289C"/>
    <w:rsid w:val="00603DFA"/>
    <w:rsid w:val="0060673B"/>
    <w:rsid w:val="006250D9"/>
    <w:rsid w:val="00661588"/>
    <w:rsid w:val="006646AB"/>
    <w:rsid w:val="00676542"/>
    <w:rsid w:val="00684587"/>
    <w:rsid w:val="0069140F"/>
    <w:rsid w:val="006A79CD"/>
    <w:rsid w:val="006B3A19"/>
    <w:rsid w:val="006B3F0D"/>
    <w:rsid w:val="006B5E06"/>
    <w:rsid w:val="006E3486"/>
    <w:rsid w:val="006F0A5C"/>
    <w:rsid w:val="00710FF0"/>
    <w:rsid w:val="00721B78"/>
    <w:rsid w:val="00726308"/>
    <w:rsid w:val="007314E0"/>
    <w:rsid w:val="007451AF"/>
    <w:rsid w:val="00745DB5"/>
    <w:rsid w:val="00762264"/>
    <w:rsid w:val="00776D60"/>
    <w:rsid w:val="007817DF"/>
    <w:rsid w:val="0079244C"/>
    <w:rsid w:val="007A14FB"/>
    <w:rsid w:val="007A3E2E"/>
    <w:rsid w:val="007A6C14"/>
    <w:rsid w:val="007B1DBA"/>
    <w:rsid w:val="007B7A72"/>
    <w:rsid w:val="008201FA"/>
    <w:rsid w:val="008204A6"/>
    <w:rsid w:val="0084130F"/>
    <w:rsid w:val="00865A06"/>
    <w:rsid w:val="008666BF"/>
    <w:rsid w:val="00867015"/>
    <w:rsid w:val="00871AB5"/>
    <w:rsid w:val="008735E6"/>
    <w:rsid w:val="00880049"/>
    <w:rsid w:val="0089756D"/>
    <w:rsid w:val="008A4062"/>
    <w:rsid w:val="008B5B36"/>
    <w:rsid w:val="008C21D7"/>
    <w:rsid w:val="008D1995"/>
    <w:rsid w:val="008F3F6E"/>
    <w:rsid w:val="00934982"/>
    <w:rsid w:val="0093750E"/>
    <w:rsid w:val="0095324E"/>
    <w:rsid w:val="00955156"/>
    <w:rsid w:val="00970CD1"/>
    <w:rsid w:val="009747AE"/>
    <w:rsid w:val="00992FCB"/>
    <w:rsid w:val="009940EF"/>
    <w:rsid w:val="00994534"/>
    <w:rsid w:val="009A0F5A"/>
    <w:rsid w:val="009A4291"/>
    <w:rsid w:val="009D778B"/>
    <w:rsid w:val="009E359B"/>
    <w:rsid w:val="00A67308"/>
    <w:rsid w:val="00A85F96"/>
    <w:rsid w:val="00AA2BA4"/>
    <w:rsid w:val="00AA4E73"/>
    <w:rsid w:val="00AB1EB7"/>
    <w:rsid w:val="00AB49D2"/>
    <w:rsid w:val="00AC39B1"/>
    <w:rsid w:val="00AD0BFD"/>
    <w:rsid w:val="00AE37D2"/>
    <w:rsid w:val="00AE542A"/>
    <w:rsid w:val="00AF198A"/>
    <w:rsid w:val="00AF7189"/>
    <w:rsid w:val="00AF74E5"/>
    <w:rsid w:val="00B1625B"/>
    <w:rsid w:val="00B1665A"/>
    <w:rsid w:val="00B22141"/>
    <w:rsid w:val="00B2390B"/>
    <w:rsid w:val="00B27879"/>
    <w:rsid w:val="00B746B2"/>
    <w:rsid w:val="00B856EC"/>
    <w:rsid w:val="00BA321C"/>
    <w:rsid w:val="00BB5597"/>
    <w:rsid w:val="00BC2BF8"/>
    <w:rsid w:val="00BC5BEC"/>
    <w:rsid w:val="00BD1689"/>
    <w:rsid w:val="00BD45B6"/>
    <w:rsid w:val="00BE1670"/>
    <w:rsid w:val="00BF159E"/>
    <w:rsid w:val="00C0761B"/>
    <w:rsid w:val="00C1212D"/>
    <w:rsid w:val="00C15FB3"/>
    <w:rsid w:val="00C173EB"/>
    <w:rsid w:val="00C22C8B"/>
    <w:rsid w:val="00C50F91"/>
    <w:rsid w:val="00C576F7"/>
    <w:rsid w:val="00C635ED"/>
    <w:rsid w:val="00C86DF2"/>
    <w:rsid w:val="00C96996"/>
    <w:rsid w:val="00CC0864"/>
    <w:rsid w:val="00CC270F"/>
    <w:rsid w:val="00CD6E33"/>
    <w:rsid w:val="00D26595"/>
    <w:rsid w:val="00D5548C"/>
    <w:rsid w:val="00D86EB7"/>
    <w:rsid w:val="00DC1919"/>
    <w:rsid w:val="00DC7A1B"/>
    <w:rsid w:val="00DD06E6"/>
    <w:rsid w:val="00DD07F2"/>
    <w:rsid w:val="00DF58AA"/>
    <w:rsid w:val="00E02487"/>
    <w:rsid w:val="00E07448"/>
    <w:rsid w:val="00E275A6"/>
    <w:rsid w:val="00E31638"/>
    <w:rsid w:val="00E35A35"/>
    <w:rsid w:val="00E35CE8"/>
    <w:rsid w:val="00E473D2"/>
    <w:rsid w:val="00E57768"/>
    <w:rsid w:val="00E67D51"/>
    <w:rsid w:val="00E76E1F"/>
    <w:rsid w:val="00E81E0F"/>
    <w:rsid w:val="00E87582"/>
    <w:rsid w:val="00EA56CE"/>
    <w:rsid w:val="00EB1916"/>
    <w:rsid w:val="00EB5779"/>
    <w:rsid w:val="00ED6A14"/>
    <w:rsid w:val="00EF0970"/>
    <w:rsid w:val="00EF1AD6"/>
    <w:rsid w:val="00EF47E7"/>
    <w:rsid w:val="00F062F2"/>
    <w:rsid w:val="00F32B97"/>
    <w:rsid w:val="00F51A8A"/>
    <w:rsid w:val="00F71EDB"/>
    <w:rsid w:val="00F834A5"/>
    <w:rsid w:val="00F84895"/>
    <w:rsid w:val="00F86A4F"/>
    <w:rsid w:val="00F90C52"/>
    <w:rsid w:val="00F910F7"/>
    <w:rsid w:val="00F95A9A"/>
    <w:rsid w:val="00F9742A"/>
    <w:rsid w:val="00FC0BD8"/>
    <w:rsid w:val="00FD293F"/>
    <w:rsid w:val="00FD2D19"/>
    <w:rsid w:val="00FD7041"/>
    <w:rsid w:val="00FF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F32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95A9A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82F32"/>
  </w:style>
  <w:style w:type="paragraph" w:customStyle="1" w:styleId="Style2">
    <w:name w:val="Style2"/>
    <w:basedOn w:val="Normal"/>
    <w:uiPriority w:val="99"/>
    <w:rsid w:val="00282F32"/>
    <w:pPr>
      <w:spacing w:line="413" w:lineRule="exact"/>
      <w:jc w:val="center"/>
    </w:pPr>
  </w:style>
  <w:style w:type="paragraph" w:customStyle="1" w:styleId="Style3">
    <w:name w:val="Style3"/>
    <w:basedOn w:val="Normal"/>
    <w:uiPriority w:val="99"/>
    <w:rsid w:val="00282F32"/>
  </w:style>
  <w:style w:type="paragraph" w:customStyle="1" w:styleId="Style4">
    <w:name w:val="Style4"/>
    <w:basedOn w:val="Normal"/>
    <w:uiPriority w:val="99"/>
    <w:rsid w:val="00282F32"/>
  </w:style>
  <w:style w:type="paragraph" w:customStyle="1" w:styleId="Style5">
    <w:name w:val="Style5"/>
    <w:basedOn w:val="Normal"/>
    <w:uiPriority w:val="99"/>
    <w:rsid w:val="00282F32"/>
  </w:style>
  <w:style w:type="paragraph" w:customStyle="1" w:styleId="Style6">
    <w:name w:val="Style6"/>
    <w:basedOn w:val="Normal"/>
    <w:uiPriority w:val="99"/>
    <w:rsid w:val="00282F32"/>
  </w:style>
  <w:style w:type="paragraph" w:customStyle="1" w:styleId="Style7">
    <w:name w:val="Style7"/>
    <w:basedOn w:val="Normal"/>
    <w:uiPriority w:val="99"/>
    <w:rsid w:val="00282F32"/>
  </w:style>
  <w:style w:type="paragraph" w:customStyle="1" w:styleId="Style8">
    <w:name w:val="Style8"/>
    <w:basedOn w:val="Normal"/>
    <w:rsid w:val="00282F32"/>
    <w:pPr>
      <w:spacing w:line="274" w:lineRule="exact"/>
      <w:jc w:val="center"/>
    </w:pPr>
  </w:style>
  <w:style w:type="paragraph" w:customStyle="1" w:styleId="Style9">
    <w:name w:val="Style9"/>
    <w:basedOn w:val="Normal"/>
    <w:rsid w:val="00282F32"/>
  </w:style>
  <w:style w:type="paragraph" w:customStyle="1" w:styleId="Style10">
    <w:name w:val="Style10"/>
    <w:basedOn w:val="Normal"/>
    <w:uiPriority w:val="99"/>
    <w:rsid w:val="00282F32"/>
    <w:pPr>
      <w:spacing w:line="276" w:lineRule="exact"/>
      <w:jc w:val="both"/>
    </w:pPr>
  </w:style>
  <w:style w:type="paragraph" w:customStyle="1" w:styleId="Style11">
    <w:name w:val="Style11"/>
    <w:basedOn w:val="Normal"/>
    <w:rsid w:val="00282F32"/>
    <w:pPr>
      <w:spacing w:line="276" w:lineRule="exact"/>
      <w:ind w:hanging="365"/>
      <w:jc w:val="both"/>
    </w:pPr>
  </w:style>
  <w:style w:type="paragraph" w:customStyle="1" w:styleId="Style12">
    <w:name w:val="Style12"/>
    <w:basedOn w:val="Normal"/>
    <w:uiPriority w:val="99"/>
    <w:rsid w:val="00282F32"/>
    <w:pPr>
      <w:spacing w:line="276" w:lineRule="exact"/>
    </w:pPr>
  </w:style>
  <w:style w:type="paragraph" w:customStyle="1" w:styleId="Style13">
    <w:name w:val="Style13"/>
    <w:basedOn w:val="Normal"/>
    <w:uiPriority w:val="99"/>
    <w:rsid w:val="00282F32"/>
  </w:style>
  <w:style w:type="paragraph" w:customStyle="1" w:styleId="Style14">
    <w:name w:val="Style14"/>
    <w:basedOn w:val="Normal"/>
    <w:uiPriority w:val="99"/>
    <w:rsid w:val="00282F32"/>
    <w:pPr>
      <w:spacing w:line="274" w:lineRule="exact"/>
      <w:ind w:hanging="701"/>
    </w:pPr>
  </w:style>
  <w:style w:type="paragraph" w:customStyle="1" w:styleId="Style15">
    <w:name w:val="Style15"/>
    <w:basedOn w:val="Normal"/>
    <w:rsid w:val="00282F32"/>
  </w:style>
  <w:style w:type="paragraph" w:customStyle="1" w:styleId="Style16">
    <w:name w:val="Style16"/>
    <w:basedOn w:val="Normal"/>
    <w:rsid w:val="00282F32"/>
    <w:pPr>
      <w:spacing w:line="274" w:lineRule="exact"/>
      <w:ind w:hanging="274"/>
    </w:pPr>
  </w:style>
  <w:style w:type="paragraph" w:customStyle="1" w:styleId="Style17">
    <w:name w:val="Style17"/>
    <w:basedOn w:val="Normal"/>
    <w:rsid w:val="00282F32"/>
    <w:pPr>
      <w:spacing w:line="278" w:lineRule="exact"/>
      <w:ind w:hanging="355"/>
    </w:pPr>
  </w:style>
  <w:style w:type="paragraph" w:customStyle="1" w:styleId="Style18">
    <w:name w:val="Style18"/>
    <w:basedOn w:val="Normal"/>
    <w:uiPriority w:val="99"/>
    <w:rsid w:val="00282F32"/>
    <w:pPr>
      <w:spacing w:line="274" w:lineRule="exact"/>
      <w:ind w:hanging="542"/>
    </w:pPr>
  </w:style>
  <w:style w:type="character" w:customStyle="1" w:styleId="FontStyle20">
    <w:name w:val="Font Style20"/>
    <w:uiPriority w:val="99"/>
    <w:rsid w:val="00282F32"/>
    <w:rPr>
      <w:rFonts w:ascii="Arial" w:hAnsi="Arial" w:cs="Arial"/>
      <w:b/>
      <w:bCs/>
      <w:sz w:val="30"/>
      <w:szCs w:val="30"/>
    </w:rPr>
  </w:style>
  <w:style w:type="character" w:customStyle="1" w:styleId="FontStyle21">
    <w:name w:val="Font Style21"/>
    <w:uiPriority w:val="99"/>
    <w:rsid w:val="00282F32"/>
    <w:rPr>
      <w:rFonts w:ascii="Arial" w:hAnsi="Arial" w:cs="Arial"/>
      <w:b/>
      <w:bCs/>
      <w:sz w:val="34"/>
      <w:szCs w:val="34"/>
    </w:rPr>
  </w:style>
  <w:style w:type="character" w:customStyle="1" w:styleId="FontStyle22">
    <w:name w:val="Font Style22"/>
    <w:uiPriority w:val="99"/>
    <w:rsid w:val="00282F32"/>
    <w:rPr>
      <w:rFonts w:ascii="Arial" w:hAnsi="Arial" w:cs="Arial"/>
      <w:b/>
      <w:bCs/>
      <w:sz w:val="42"/>
      <w:szCs w:val="42"/>
    </w:rPr>
  </w:style>
  <w:style w:type="character" w:customStyle="1" w:styleId="FontStyle23">
    <w:name w:val="Font Style23"/>
    <w:uiPriority w:val="99"/>
    <w:rsid w:val="00282F32"/>
    <w:rPr>
      <w:rFonts w:ascii="Arial" w:hAnsi="Arial" w:cs="Arial"/>
      <w:sz w:val="26"/>
      <w:szCs w:val="26"/>
    </w:rPr>
  </w:style>
  <w:style w:type="character" w:customStyle="1" w:styleId="FontStyle24">
    <w:name w:val="Font Style24"/>
    <w:uiPriority w:val="99"/>
    <w:rsid w:val="00282F32"/>
    <w:rPr>
      <w:rFonts w:ascii="Arial" w:hAnsi="Arial" w:cs="Arial"/>
      <w:sz w:val="22"/>
      <w:szCs w:val="22"/>
    </w:rPr>
  </w:style>
  <w:style w:type="character" w:customStyle="1" w:styleId="FontStyle25">
    <w:name w:val="Font Style25"/>
    <w:uiPriority w:val="99"/>
    <w:rsid w:val="00282F32"/>
    <w:rPr>
      <w:rFonts w:ascii="Arial" w:hAnsi="Arial" w:cs="Arial"/>
      <w:b/>
      <w:bCs/>
      <w:sz w:val="22"/>
      <w:szCs w:val="22"/>
    </w:rPr>
  </w:style>
  <w:style w:type="character" w:customStyle="1" w:styleId="FontStyle26">
    <w:name w:val="Font Style26"/>
    <w:uiPriority w:val="99"/>
    <w:rsid w:val="00282F32"/>
    <w:rPr>
      <w:rFonts w:ascii="Arial" w:hAnsi="Arial" w:cs="Arial"/>
      <w:b/>
      <w:bCs/>
      <w:sz w:val="22"/>
      <w:szCs w:val="22"/>
    </w:rPr>
  </w:style>
  <w:style w:type="character" w:customStyle="1" w:styleId="FontStyle27">
    <w:name w:val="Font Style27"/>
    <w:uiPriority w:val="99"/>
    <w:rsid w:val="00282F32"/>
    <w:rPr>
      <w:rFonts w:ascii="Arial" w:hAnsi="Arial" w:cs="Arial"/>
      <w:sz w:val="22"/>
      <w:szCs w:val="22"/>
    </w:rPr>
  </w:style>
  <w:style w:type="character" w:customStyle="1" w:styleId="FontStyle29">
    <w:name w:val="Font Style29"/>
    <w:rsid w:val="000C0B1D"/>
    <w:rPr>
      <w:rFonts w:ascii="Arial" w:hAnsi="Arial" w:cs="Arial"/>
      <w:b/>
      <w:bCs/>
      <w:sz w:val="22"/>
      <w:szCs w:val="22"/>
    </w:rPr>
  </w:style>
  <w:style w:type="character" w:customStyle="1" w:styleId="FontStyle30">
    <w:name w:val="Font Style30"/>
    <w:rsid w:val="00324BBE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99"/>
    <w:rsid w:val="00324BBE"/>
    <w:pPr>
      <w:widowControl w:val="0"/>
      <w:autoSpaceDE w:val="0"/>
      <w:autoSpaceDN w:val="0"/>
      <w:adjustRightInd w:val="0"/>
    </w:pPr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3181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A7159"/>
    <w:rPr>
      <w:rFonts w:ascii="Arial" w:hAnsi="Arial" w:cs="Arial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3181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282F32"/>
    <w:rPr>
      <w:rFonts w:hAnsi="Arial" w:cs="Arial"/>
      <w:sz w:val="24"/>
      <w:szCs w:val="24"/>
      <w:lang w:val="en-US" w:eastAsia="en-US"/>
    </w:rPr>
  </w:style>
  <w:style w:type="character" w:customStyle="1" w:styleId="FontStyle44">
    <w:name w:val="Font Style44"/>
    <w:rsid w:val="006B3A19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B0F55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0F55"/>
    <w:pPr>
      <w:autoSpaceDE/>
      <w:autoSpaceDN/>
      <w:adjustRightInd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0F55"/>
    <w:rPr>
      <w:rFonts w:ascii="Calibri" w:eastAsia="Calibri" w:hAnsi="Calibri"/>
    </w:rPr>
  </w:style>
  <w:style w:type="character" w:styleId="FootnoteReference">
    <w:name w:val="footnote reference"/>
    <w:uiPriority w:val="99"/>
    <w:semiHidden/>
    <w:unhideWhenUsed/>
    <w:rsid w:val="003B0F55"/>
    <w:rPr>
      <w:vertAlign w:val="superscript"/>
    </w:rPr>
  </w:style>
  <w:style w:type="character" w:customStyle="1" w:styleId="FontStyle48">
    <w:name w:val="Font Style48"/>
    <w:uiPriority w:val="99"/>
    <w:rsid w:val="00F9742A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2">
    <w:name w:val="Style22"/>
    <w:basedOn w:val="Normal"/>
    <w:uiPriority w:val="99"/>
    <w:rsid w:val="00710FF0"/>
    <w:pPr>
      <w:spacing w:line="269" w:lineRule="exact"/>
      <w:ind w:hanging="350"/>
    </w:pPr>
  </w:style>
  <w:style w:type="character" w:customStyle="1" w:styleId="FontStyle47">
    <w:name w:val="Font Style47"/>
    <w:uiPriority w:val="99"/>
    <w:rsid w:val="00710FF0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4130F"/>
    <w:pPr>
      <w:autoSpaceDE w:val="0"/>
      <w:autoSpaceDN w:val="0"/>
      <w:adjustRightInd w:val="0"/>
    </w:pPr>
    <w:rPr>
      <w:rFonts w:ascii="Bookman Old Style" w:eastAsia="MS Mincho" w:hAnsi="Bookman Old Style" w:cs="Bookman Old Style"/>
      <w:color w:val="000000"/>
      <w:sz w:val="24"/>
      <w:szCs w:val="24"/>
    </w:rPr>
  </w:style>
  <w:style w:type="paragraph" w:customStyle="1" w:styleId="Style26">
    <w:name w:val="Style26"/>
    <w:basedOn w:val="Normal"/>
    <w:rsid w:val="0084130F"/>
    <w:pPr>
      <w:jc w:val="both"/>
    </w:pPr>
  </w:style>
  <w:style w:type="character" w:customStyle="1" w:styleId="Heading1Char">
    <w:name w:val="Heading 1 Char"/>
    <w:basedOn w:val="DefaultParagraphFont"/>
    <w:link w:val="Heading1"/>
    <w:rsid w:val="00F95A9A"/>
    <w:rPr>
      <w:rFonts w:asciiTheme="majorHAnsi" w:eastAsiaTheme="majorEastAsia" w:hAnsiTheme="majorHAnsi" w:cstheme="majorBidi"/>
      <w:b/>
      <w:bCs/>
      <w:kern w:val="32"/>
      <w:sz w:val="32"/>
      <w:szCs w:val="3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2007</Words>
  <Characters>11645</Characters>
  <Application>Microsoft Office Word</Application>
  <DocSecurity>0</DocSecurity>
  <Lines>97</Lines>
  <Paragraphs>27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</vt:lpstr>
      <vt:lpstr>PROG</vt:lpstr>
    </vt:vector>
  </TitlesOfParts>
  <Company>Hewlett-Packard Company</Company>
  <LinksUpToDate>false</LinksUpToDate>
  <CharactersWithSpaces>13625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</dc:title>
  <dc:creator>Dan</dc:creator>
  <cp:lastModifiedBy>cristina.dascalu</cp:lastModifiedBy>
  <cp:revision>3</cp:revision>
  <dcterms:created xsi:type="dcterms:W3CDTF">2015-10-21T08:42:00Z</dcterms:created>
  <dcterms:modified xsi:type="dcterms:W3CDTF">2015-10-27T10:36:00Z</dcterms:modified>
</cp:coreProperties>
</file>